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A5" w:rsidRPr="006061A5" w:rsidRDefault="006061A5" w:rsidP="006061A5">
      <w:pPr>
        <w:pStyle w:val="001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УДК 371.214:51</w:t>
      </w:r>
    </w:p>
    <w:p w:rsidR="006061A5" w:rsidRPr="006061A5" w:rsidRDefault="006061A5" w:rsidP="006061A5">
      <w:pPr>
        <w:pStyle w:val="06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В. В. Грінчук,</w:t>
      </w:r>
    </w:p>
    <w:p w:rsidR="006061A5" w:rsidRPr="006061A5" w:rsidRDefault="006061A5" w:rsidP="006061A5">
      <w:pPr>
        <w:pStyle w:val="060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завідувачка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6061A5" w:rsidRPr="006061A5" w:rsidRDefault="006061A5" w:rsidP="006061A5">
      <w:pPr>
        <w:pStyle w:val="0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методичні рекомендації щодо вивчення математики у 2014/2015 навчальному році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У 2014/2015 навчальному році вивчення математики в загальноосвітніх навчальних закладах здійснюватиметься за такими програмами.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Вивчення математики в </w:t>
      </w:r>
      <w:r w:rsidRPr="006061A5">
        <w:rPr>
          <w:rFonts w:ascii="Times New Roman" w:hAnsi="Times New Roman" w:cs="Times New Roman"/>
          <w:b/>
          <w:bCs/>
          <w:sz w:val="28"/>
          <w:szCs w:val="28"/>
        </w:rPr>
        <w:t>5–6</w:t>
      </w:r>
      <w:r w:rsidRPr="006061A5">
        <w:rPr>
          <w:rFonts w:ascii="Times New Roman" w:hAnsi="Times New Roman" w:cs="Times New Roman"/>
          <w:b/>
          <w:bCs/>
          <w:sz w:val="28"/>
          <w:szCs w:val="28"/>
        </w:rPr>
        <w:noBreakHyphen/>
        <w:t xml:space="preserve">х класах </w:t>
      </w:r>
      <w:r w:rsidRPr="006061A5">
        <w:rPr>
          <w:rFonts w:ascii="Times New Roman" w:hAnsi="Times New Roman" w:cs="Times New Roman"/>
          <w:sz w:val="28"/>
          <w:szCs w:val="28"/>
        </w:rPr>
        <w:t>загальноосвітніх навчальних закладів буде здійснюватись за новою навчальною програмою та новим Державним стандартом для учнів 5–9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х класів загальноосвітніх навчальних закладів (авт.: М. І. Бурда, Ю. І. Мальований, Є. П.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Нелін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Д. А.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Номіровський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А. В.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Паньков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Н. А.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М. В. Чемерис, М. С. Якір),</w:t>
      </w:r>
      <w:r w:rsidRPr="006061A5">
        <w:rPr>
          <w:rFonts w:ascii="Times New Roman" w:hAnsi="Times New Roman" w:cs="Times New Roman"/>
          <w:sz w:val="28"/>
          <w:szCs w:val="28"/>
        </w:rPr>
        <w:softHyphen/>
        <w:t xml:space="preserve"> розміщена на сайті Міністерства освіти і науки України </w:t>
      </w:r>
      <w:proofErr w:type="spellStart"/>
      <w:r w:rsidRPr="006061A5">
        <w:rPr>
          <w:rFonts w:ascii="Times New Roman" w:hAnsi="Times New Roman" w:cs="Times New Roman"/>
          <w:i/>
          <w:iCs/>
          <w:sz w:val="28"/>
          <w:szCs w:val="28"/>
        </w:rPr>
        <w:t>www.mon.gov.ua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У </w:t>
      </w: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7–9-х класах </w:t>
      </w:r>
      <w:r w:rsidRPr="006061A5">
        <w:rPr>
          <w:rFonts w:ascii="Times New Roman" w:hAnsi="Times New Roman" w:cs="Times New Roman"/>
          <w:sz w:val="28"/>
          <w:szCs w:val="28"/>
        </w:rPr>
        <w:t>загальноосвітніх навчальних закладів навчання здійснюватиметься за програмами, надрукованими у збірнику «Програми для загальноосвітніх навчальних закладів «Математика 5–12 класи» (К. : Перун, 2005), а також у науково-методичному журналі «Математика в школі» (2006, № 2), «Математичній газеті» (2009, № 9, 10).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У </w:t>
      </w: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8–9 класах (поглиблене вивчення): </w:t>
      </w:r>
      <w:r w:rsidRPr="006061A5">
        <w:rPr>
          <w:rFonts w:ascii="Times New Roman" w:hAnsi="Times New Roman" w:cs="Times New Roman"/>
          <w:sz w:val="28"/>
          <w:szCs w:val="28"/>
        </w:rPr>
        <w:t xml:space="preserve">Математика 8–9 класи. Програма для класів з поглибленим вивченням математики // Інформаційний збірник МОН України. — 2008. — № 16–17, розміщена на сайті Міністерства освіти і науки України </w:t>
      </w:r>
      <w:proofErr w:type="spellStart"/>
      <w:r w:rsidRPr="006061A5">
        <w:rPr>
          <w:rFonts w:ascii="Times New Roman" w:hAnsi="Times New Roman" w:cs="Times New Roman"/>
          <w:i/>
          <w:iCs/>
          <w:sz w:val="28"/>
          <w:szCs w:val="28"/>
        </w:rPr>
        <w:t>www.mon.gov.ua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У </w:t>
      </w:r>
      <w:r w:rsidRPr="006061A5">
        <w:rPr>
          <w:rFonts w:ascii="Times New Roman" w:hAnsi="Times New Roman" w:cs="Times New Roman"/>
          <w:b/>
          <w:bCs/>
          <w:sz w:val="28"/>
          <w:szCs w:val="28"/>
        </w:rPr>
        <w:t>10–11 класах</w:t>
      </w:r>
      <w:r w:rsidRPr="006061A5">
        <w:rPr>
          <w:rFonts w:ascii="Times New Roman" w:hAnsi="Times New Roman" w:cs="Times New Roman"/>
          <w:sz w:val="28"/>
          <w:szCs w:val="28"/>
        </w:rPr>
        <w:t xml:space="preserve"> математика вивчатиметься за програмами, надрукованими у посібнику «Збірник програм з математики для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підготовки і профільного навчання» (Харків : Ранок, 2011), розміщені на сайті Міністерства освіти і науки України </w:t>
      </w:r>
      <w:proofErr w:type="spellStart"/>
      <w:r w:rsidRPr="006061A5">
        <w:rPr>
          <w:rFonts w:ascii="Times New Roman" w:hAnsi="Times New Roman" w:cs="Times New Roman"/>
          <w:i/>
          <w:iCs/>
          <w:sz w:val="28"/>
          <w:szCs w:val="28"/>
        </w:rPr>
        <w:t>www.mon.gov.ua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.</w:t>
      </w:r>
    </w:p>
    <w:p w:rsidR="006061A5" w:rsidRPr="006061A5" w:rsidRDefault="006061A5" w:rsidP="006061A5">
      <w:pPr>
        <w:pStyle w:val="040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Pr="006061A5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436"/>
        <w:gridCol w:w="1184"/>
        <w:gridCol w:w="436"/>
        <w:gridCol w:w="1364"/>
        <w:gridCol w:w="436"/>
        <w:gridCol w:w="1364"/>
        <w:gridCol w:w="436"/>
        <w:gridCol w:w="1364"/>
      </w:tblGrid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340" w:type="dxa"/>
            <w:vMerge w:val="restart"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годин на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класах</w:t>
            </w:r>
            <w:proofErr w:type="spellEnd"/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2340" w:type="dxa"/>
            <w:vMerge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</w:tcPr>
          <w:p w:rsidR="006061A5" w:rsidRPr="006061A5" w:rsidRDefault="006061A5" w:rsidP="006061A5">
            <w:pPr>
              <w:pStyle w:val="Noparagraphstyle"/>
              <w:spacing w:line="240" w:lineRule="auto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стандарту</w:t>
            </w:r>
            <w:r w:rsidRPr="006061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Академічний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ільний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Поглиблене</w:t>
            </w:r>
            <w:proofErr w:type="spellEnd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2340" w:type="dxa"/>
            <w:vMerge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</w:tcPr>
          <w:p w:rsidR="006061A5" w:rsidRPr="006061A5" w:rsidRDefault="006061A5" w:rsidP="006061A5">
            <w:pPr>
              <w:pStyle w:val="Noparagraphstyle"/>
              <w:spacing w:line="240" w:lineRule="auto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61A5" w:rsidRPr="006061A5" w:rsidRDefault="006061A5" w:rsidP="006061A5">
            <w:pPr>
              <w:pStyle w:val="0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2340" w:type="dxa"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061A5" w:rsidRPr="006061A5" w:rsidRDefault="006061A5" w:rsidP="006061A5">
            <w:pPr>
              <w:pStyle w:val="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40" w:type="dxa"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 xml:space="preserve">Алгебра та початки </w:t>
            </w: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A5" w:rsidRPr="006061A5" w:rsidTr="00606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340" w:type="dxa"/>
            <w:tcBorders>
              <w:top w:val="single" w:sz="4" w:space="0" w:color="363435"/>
              <w:left w:val="single" w:sz="6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  <w:proofErr w:type="spellEnd"/>
          </w:p>
          <w:p w:rsidR="006061A5" w:rsidRPr="006061A5" w:rsidRDefault="006061A5" w:rsidP="006061A5">
            <w:pPr>
              <w:pStyle w:val="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61A5" w:rsidRPr="006061A5" w:rsidRDefault="006061A5" w:rsidP="006061A5">
            <w:pPr>
              <w:pStyle w:val="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A5" w:rsidRPr="006061A5" w:rsidRDefault="006061A5" w:rsidP="006061A5">
      <w:pPr>
        <w:pStyle w:val="03"/>
        <w:rPr>
          <w:rFonts w:ascii="Times New Roman" w:hAnsi="Times New Roman" w:cs="Times New Roman"/>
          <w:i/>
          <w:iCs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Програма поглибленого вивчення математики розрахована на вивчення математики у 8–11 класах (навчальні заклади, які розпочали вивчення математики у 8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му класі на поглибленому рівні, продовжують поглиблене вивчення у 10–11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х класах)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Програмно-методичні матеріали </w:t>
      </w:r>
      <w:r w:rsidRPr="006061A5">
        <w:rPr>
          <w:rFonts w:ascii="Times New Roman" w:hAnsi="Times New Roman" w:cs="Times New Roman"/>
          <w:sz w:val="28"/>
          <w:szCs w:val="28"/>
        </w:rPr>
        <w:t>щодо вивчення курсу математики (орієнтовне календарне планування для загальноосвітніх та профільних класів, завдання для підсумкового тематичного оцінювання) — в Інформаційних збірниках МОН № 13–14, 2006–2009 рр., журналі «Математика в школі» (№ 6, 2006–2009 рр.), журналі «Математика в школі» № 6, 7–8 2011 р., «Математика в школах України» № 19–21 2011 р., № 22–24 2012 р., газеті «Математика» № 26–27, 46–47 2011 р., № 29–31 2012 р.</w:t>
      </w:r>
    </w:p>
    <w:p w:rsidR="006061A5" w:rsidRPr="006061A5" w:rsidRDefault="006061A5" w:rsidP="006061A5">
      <w:pPr>
        <w:pStyle w:val="0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Реалізація профільного навчання математики у 10–11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 xml:space="preserve">х класах та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підготовки у 5–9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х класах забезпечується системою курсів за вибором та факультативів (за рахунок варіативного компонента), які певним чином враховують інтереси і можливості учнів даного профілю.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Функції курсів за вибором — поглиблення та розширення основного змісту математики відповідно до профілю навчання, надання можливості для організації творчої роботи учнів через систему індивідуальних завдань професійної спрямованості.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Навчальні програми, орієнтовне календарно-тематичне планування та методичні рекомендації щодо викладання курсів за вибором і факультативів надруковані у «Збірнику програм для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підготовки та профільного навчання» (у двох частинах) /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.: Н. С. Прокопенко, О. П.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Вашуленко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О. В. 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Єргіна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. — Х. : Ранок, 2011.</w:t>
      </w:r>
    </w:p>
    <w:p w:rsidR="006061A5" w:rsidRPr="006061A5" w:rsidRDefault="006061A5" w:rsidP="006061A5">
      <w:pPr>
        <w:pStyle w:val="023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r w:rsidRPr="006061A5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факультативів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у 2-х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У 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шу частину</w:t>
      </w:r>
      <w:r w:rsidRPr="006061A5">
        <w:rPr>
          <w:rFonts w:ascii="Times New Roman" w:hAnsi="Times New Roman" w:cs="Times New Roman"/>
          <w:sz w:val="28"/>
          <w:szCs w:val="28"/>
        </w:rPr>
        <w:t xml:space="preserve"> включено: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11 програм курсів за вибором для 8–9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х класів;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4 програми для спеціалізованих закладів освіти;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16 програм факультативів для 5–9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х, 8–11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х класів;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програму гуртка з математики.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 xml:space="preserve">У 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 xml:space="preserve">гу частину </w:t>
      </w:r>
      <w:r w:rsidRPr="006061A5">
        <w:rPr>
          <w:rFonts w:ascii="Times New Roman" w:hAnsi="Times New Roman" w:cs="Times New Roman"/>
          <w:sz w:val="28"/>
          <w:szCs w:val="28"/>
        </w:rPr>
        <w:t>включено: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4 державні програми з математики (рівні: стандарту, академічний, профільний, для класів з поглибленим вивченням математики);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26 програм курсів за вибором;</w:t>
      </w:r>
    </w:p>
    <w:p w:rsidR="006061A5" w:rsidRDefault="006061A5" w:rsidP="006061A5">
      <w:pPr>
        <w:pStyle w:val="03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7 програм факультативів для старшої школи.</w:t>
      </w:r>
    </w:p>
    <w:p w:rsid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</w:p>
    <w:p w:rsidR="006061A5" w:rsidRPr="006061A5" w:rsidRDefault="006061A5" w:rsidP="006061A5">
      <w:pPr>
        <w:pStyle w:val="023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lastRenderedPageBreak/>
        <w:t>Програми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істять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: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Обов’язково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Пояснювальну записку (мета, завдання курсу, цільова аудиторія, рекомендації щодо режиму вивчення, очікувані результати).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Навчально-тематичний план (перелік розділів і тем з їх стислою анотацією та вимоги до рівня навчальних досягнень учнів).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Список літератури.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Додатково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Орієнтовне календарно-тематичне планування.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Методичні рекомендації до викладання курсу (опис засобів організації навчального процесу, вказівки до опрацювання основних змістових ліній курсу, дидактичні матеріали, рекомендації щодо оцінювання результатів навчання).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 Набір дидактичних вправ.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У класах відповідних профілів замість предмета «Математика» можуть вивчатися окремі курси — «Алгебра та початки аналізу» (із розрахунку 2 години на тиждень в 10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му класі і 3 години на тиждень в 11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му класі) і «Геометрія» (із розрахунку 2 години на тиждень в 10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му класі і 3 години на тиждень в 11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му класі) за рахунок часу, відведеного на профільне і поглиблене вивчення предметів, введення курсів за вибором, факультативів.</w:t>
      </w:r>
    </w:p>
    <w:p w:rsidR="006061A5" w:rsidRPr="006061A5" w:rsidRDefault="006061A5" w:rsidP="006061A5">
      <w:pPr>
        <w:pStyle w:val="023"/>
        <w:spacing w:before="170" w:after="113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061A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удосконалення підготовки та проведення уроків математики з використанням активних форм організації діяльності учнів;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диференційоване навчання та індивідуальну роботу з учнями;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використання нових інформаційних технологій у поєднанні з традиційними засобами навчання;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практичну спрямованість навчання математики;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моделювання життєвих ситуацій;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аналіз кількісних даних, що представлені у різних формах;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відсоткові розрахунки;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пропорційні відношення;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дії з дробами;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розвиток логічного та креативного мислення.</w:t>
      </w:r>
    </w:p>
    <w:p w:rsidR="006061A5" w:rsidRPr="006061A5" w:rsidRDefault="006061A5" w:rsidP="006061A5">
      <w:pPr>
        <w:pStyle w:val="023"/>
        <w:spacing w:before="170" w:after="113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кадрами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: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підвищення кваліфікації та професійної майстерності кожного педагогічного працівника, розвиток творчого потенціалу педагогічних колективів, досягнення позитивних результатів навчального процесу;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організацію науково-методичного супроводу вивчення математики у зв’язку з оновленням змісту математичної освіти;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формування інноваційної культури вчителя математики;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удосконалення підготовки та проведення уроків математики з використанням активних форм організації діяльності учнів;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використання новітніх інформаційних технологій, електронних підручників, програмних засобів навчання;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активізацію роботи з молодими вчителями математики;</w:t>
      </w:r>
    </w:p>
    <w:p w:rsidR="006061A5" w:rsidRPr="006061A5" w:rsidRDefault="006061A5" w:rsidP="006061A5">
      <w:pPr>
        <w:pStyle w:val="030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–</w:t>
      </w:r>
      <w:r w:rsidRPr="006061A5">
        <w:rPr>
          <w:rFonts w:ascii="Times New Roman" w:hAnsi="Times New Roman" w:cs="Times New Roman"/>
          <w:sz w:val="28"/>
          <w:szCs w:val="28"/>
        </w:rPr>
        <w:tab/>
        <w:t>вивчення та розповсюдження перспективного педагогічного досвіду.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Звертаємо особливу увагу, </w:t>
      </w:r>
      <w:r w:rsidRPr="006061A5">
        <w:rPr>
          <w:rFonts w:ascii="Times New Roman" w:hAnsi="Times New Roman" w:cs="Times New Roman"/>
          <w:sz w:val="28"/>
          <w:szCs w:val="28"/>
        </w:rPr>
        <w:t xml:space="preserve">що відповідно до наказу Міністерства освіти і науки, молоді та спорту України від 02.08.2012 р. № 882 «Про використання навчально-методичної літератури у загальноосвітніх навчальних закладах» загальноосвітні навчальні заклади мають право використовувати в організації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навчально</w:t>
      </w:r>
      <w:r w:rsidRPr="006061A5">
        <w:rPr>
          <w:rFonts w:ascii="Times New Roman" w:hAnsi="Times New Roman" w:cs="Times New Roman"/>
          <w:sz w:val="28"/>
          <w:szCs w:val="28"/>
        </w:rPr>
        <w:noBreakHyphen/>
        <w:t>виховного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процесу лише навчальні програми, підручники та навчально-методичні посібники, що мають відповідний гриф Міністерства освіти і науки, молоді та спорту України, схвалені відповідною комісією науково-методичної ради з питань освіти Міністерства освіти і науки, молоді та спорту України.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Вимоги до перевірки зошитів </w:t>
      </w:r>
      <w:r w:rsidRPr="006061A5">
        <w:rPr>
          <w:rFonts w:ascii="Times New Roman" w:hAnsi="Times New Roman" w:cs="Times New Roman"/>
          <w:sz w:val="28"/>
          <w:szCs w:val="28"/>
        </w:rPr>
        <w:t>регламентуються методичним листом Міністерства освіти і науки України від 27.12.2000 р. № 1/9-529 «Орієнтовні вимоги до виконання письмових робіт і перевірки зошитів з природничо-математичних дисциплін у 5–11 класах» (окрім кількості контрольних робіт).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Вимоги щодо обсягу домашніх завдань </w:t>
      </w:r>
      <w:r w:rsidRPr="006061A5">
        <w:rPr>
          <w:rFonts w:ascii="Times New Roman" w:hAnsi="Times New Roman" w:cs="Times New Roman"/>
          <w:sz w:val="28"/>
          <w:szCs w:val="28"/>
        </w:rPr>
        <w:t>регламентуються методичним листом Міністерства освіти і науки України від 29.10.2007 р. № 1/9-651 «Про обсяг і характер домашніх завдань учнів загальноосвітніх навчальних закладів».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i/>
          <w:iCs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>Обсяг домашніх завдань з усіх предметів має бути таким, щоб витрати часу на їх виконання не перевищували у 5–6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х класах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t>— 2,5 години; у 7–9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х класах — 3 години; у 10–11</w:t>
      </w:r>
      <w:r w:rsidRPr="006061A5">
        <w:rPr>
          <w:rFonts w:ascii="Times New Roman" w:hAnsi="Times New Roman" w:cs="Times New Roman"/>
          <w:i/>
          <w:iCs/>
          <w:sz w:val="28"/>
          <w:szCs w:val="28"/>
        </w:rPr>
        <w:noBreakHyphen/>
        <w:t>х класах — 4 години.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z w:val="28"/>
          <w:szCs w:val="28"/>
        </w:rPr>
        <w:t xml:space="preserve">Вимоги до ведення класного журналу </w:t>
      </w:r>
      <w:r w:rsidRPr="006061A5">
        <w:rPr>
          <w:rFonts w:ascii="Times New Roman" w:hAnsi="Times New Roman" w:cs="Times New Roman"/>
          <w:sz w:val="28"/>
          <w:szCs w:val="28"/>
        </w:rPr>
        <w:t>регламентуються наказом Міністерства освіти і науки України від 03.06.2008 р. № 496 «Інструкція з ведення класного журналу для учнів 5–11(12) класів ЗНЗ».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pacing w:val="-1"/>
          <w:sz w:val="28"/>
          <w:szCs w:val="28"/>
        </w:rPr>
      </w:pPr>
      <w:r w:rsidRPr="006061A5">
        <w:rPr>
          <w:rFonts w:ascii="Times New Roman" w:hAnsi="Times New Roman" w:cs="Times New Roman"/>
          <w:spacing w:val="-1"/>
          <w:sz w:val="28"/>
          <w:szCs w:val="28"/>
        </w:rPr>
        <w:t>Тематичному оцінюванню навчальних досягнень підлягають основні результати вивчення теми (розділу). Під час вивчення кожної теми вчитель підтримує зворотній зв’язок з учнями через: поточне оцінювання, перевірку виконання домашніх завдань, ведення зошита, проведення діагностичної самостійної роботи (25–45 хвилин), 1–2 коротких самостійних робіт (10–15 хвилин), письмової контрольної роботи (бажано з використанням тестових технологій).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Після закінчення вивчення теми рекомендуємо провести урок узагальнення знань, умінь і навичок та урок корекції знань, умінь і навичок (після контрольної роботи).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lastRenderedPageBreak/>
        <w:t>Тематична оцінка виставляється за результатами опанування учнями матеріалу теми протягом її вивчення з урахуванням поточних оцінок, різних видів навчальних робіт (самостійних, контрольних робіт) та навчальної активності учнів (але не середнє арифметичне всіх оцінок, а враховуючи динаміку особистих навчальних досягнень кожного учня під час вивчення теми).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pacing w:val="-1"/>
          <w:sz w:val="28"/>
          <w:szCs w:val="28"/>
        </w:rPr>
      </w:pPr>
      <w:r w:rsidRPr="006061A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Обов’язковому оцінюванню </w:t>
      </w:r>
      <w:r w:rsidRPr="006061A5">
        <w:rPr>
          <w:rFonts w:ascii="Times New Roman" w:hAnsi="Times New Roman" w:cs="Times New Roman"/>
          <w:spacing w:val="-1"/>
          <w:sz w:val="28"/>
          <w:szCs w:val="28"/>
        </w:rPr>
        <w:t>підлягають навчальні досягнення учнів з предметів інваріантної та варіативної складових (курси за вибором, спеціальні курси) робочого навчального плану.</w:t>
      </w:r>
    </w:p>
    <w:p w:rsidR="006061A5" w:rsidRPr="006061A5" w:rsidRDefault="006061A5" w:rsidP="006061A5">
      <w:pPr>
        <w:pStyle w:val="0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sz w:val="28"/>
          <w:szCs w:val="28"/>
        </w:rPr>
        <w:t>Не підлягають обов’язковому оцінюванню навчальні досягнення учнів з факультативних, групових та індивідуальних занять, які фіксуються в окремому (спеціальному) журналі.</w:t>
      </w:r>
    </w:p>
    <w:p w:rsidR="006061A5" w:rsidRPr="006061A5" w:rsidRDefault="006061A5" w:rsidP="006061A5">
      <w:pPr>
        <w:pStyle w:val="023"/>
        <w:rPr>
          <w:rFonts w:ascii="Times New Roman" w:hAnsi="Times New Roman" w:cs="Times New Roman"/>
          <w:sz w:val="28"/>
          <w:szCs w:val="28"/>
        </w:rPr>
      </w:pP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r w:rsidRPr="006061A5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математики: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http://www.mon.gov.ua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http://www.teacher.at.ua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Методична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скарбничка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http://sites.google.com/site/matematikaonlajn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Математика 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http://www.matholymp.org.ua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олімпіадний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рух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http://www.math.ru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 в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http://www.bymath.net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Вся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елементарна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http://www.formula.co.ua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Математика для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http://www.problems.ru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факультативних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)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http://www.olimpiada.ru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http://www.kvant.info; http://kvant.mccme.ru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Науково-популярний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фізико-математичний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журнал «Квант»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http://www.ukrtym.blogspot.com/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Турні</w:t>
      </w:r>
      <w:proofErr w:type="gramStart"/>
      <w:r w:rsidRPr="006061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математиків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http://www.etudes.ru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етюди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http://mathworld.ru/about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61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http://yroki.at.ua/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http://metodportal.net/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http://mysl.lviv.ua/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061A5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http://www.testmath.com.ua/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Вивчаємо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математику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http://zadachi.mccme.ru/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http://matematika-na5.narod.ru/ </w:t>
      </w:r>
      <w:r w:rsidRPr="006061A5">
        <w:rPr>
          <w:rFonts w:ascii="Times New Roman" w:hAnsi="Times New Roman" w:cs="Times New Roman"/>
          <w:sz w:val="28"/>
          <w:szCs w:val="28"/>
        </w:rPr>
        <w:t>— Математика — на 5!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http://www.igraza.ru/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ребуси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>, загадки</w:t>
      </w:r>
    </w:p>
    <w:p w:rsidR="006061A5" w:rsidRPr="006061A5" w:rsidRDefault="006061A5" w:rsidP="006061A5">
      <w:pPr>
        <w:pStyle w:val="04"/>
        <w:ind w:left="283" w:hanging="283"/>
        <w:rPr>
          <w:rFonts w:ascii="Times New Roman" w:hAnsi="Times New Roman" w:cs="Times New Roman"/>
          <w:sz w:val="28"/>
          <w:szCs w:val="28"/>
        </w:rPr>
      </w:pPr>
      <w:r w:rsidRPr="006061A5">
        <w:rPr>
          <w:rFonts w:ascii="Times New Roman" w:hAnsi="Times New Roman" w:cs="Times New Roman"/>
          <w:i/>
          <w:iCs/>
          <w:sz w:val="28"/>
          <w:szCs w:val="28"/>
        </w:rPr>
        <w:t xml:space="preserve">http://www.golovolomka.hobby.ru </w:t>
      </w:r>
      <w:r w:rsidRPr="006061A5">
        <w:rPr>
          <w:rFonts w:ascii="Times New Roman" w:hAnsi="Times New Roman" w:cs="Times New Roman"/>
          <w:sz w:val="28"/>
          <w:szCs w:val="28"/>
        </w:rPr>
        <w:t xml:space="preserve">— Головоломки,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60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A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</w:p>
    <w:p w:rsidR="006061A5" w:rsidRPr="006061A5" w:rsidRDefault="006061A5" w:rsidP="006061A5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6061A5">
        <w:rPr>
          <w:i/>
          <w:iCs/>
          <w:sz w:val="28"/>
          <w:szCs w:val="28"/>
        </w:rPr>
        <w:t xml:space="preserve">http://www.danetka.ru/cgi-bin/main.pl </w:t>
      </w:r>
      <w:r w:rsidRPr="006061A5">
        <w:rPr>
          <w:sz w:val="28"/>
          <w:szCs w:val="28"/>
        </w:rPr>
        <w:t xml:space="preserve">— </w:t>
      </w:r>
      <w:proofErr w:type="spellStart"/>
      <w:r w:rsidRPr="006061A5">
        <w:rPr>
          <w:sz w:val="28"/>
          <w:szCs w:val="28"/>
        </w:rPr>
        <w:t>Граємо</w:t>
      </w:r>
      <w:proofErr w:type="spellEnd"/>
      <w:r w:rsidRPr="006061A5">
        <w:rPr>
          <w:sz w:val="28"/>
          <w:szCs w:val="28"/>
        </w:rPr>
        <w:t xml:space="preserve"> в </w:t>
      </w:r>
      <w:proofErr w:type="spellStart"/>
      <w:r w:rsidRPr="006061A5">
        <w:rPr>
          <w:sz w:val="28"/>
          <w:szCs w:val="28"/>
        </w:rPr>
        <w:t>логічну</w:t>
      </w:r>
      <w:proofErr w:type="spellEnd"/>
      <w:r w:rsidRPr="006061A5">
        <w:rPr>
          <w:sz w:val="28"/>
          <w:szCs w:val="28"/>
        </w:rPr>
        <w:t xml:space="preserve"> </w:t>
      </w:r>
      <w:proofErr w:type="spellStart"/>
      <w:r w:rsidRPr="006061A5">
        <w:rPr>
          <w:sz w:val="28"/>
          <w:szCs w:val="28"/>
        </w:rPr>
        <w:t>гру</w:t>
      </w:r>
      <w:proofErr w:type="spellEnd"/>
      <w:r w:rsidRPr="006061A5">
        <w:rPr>
          <w:sz w:val="28"/>
          <w:szCs w:val="28"/>
        </w:rPr>
        <w:t xml:space="preserve"> «</w:t>
      </w:r>
      <w:proofErr w:type="spellStart"/>
      <w:r w:rsidRPr="006061A5">
        <w:rPr>
          <w:sz w:val="28"/>
          <w:szCs w:val="28"/>
        </w:rPr>
        <w:t>Ситуації</w:t>
      </w:r>
      <w:proofErr w:type="spellEnd"/>
      <w:r w:rsidRPr="006061A5">
        <w:rPr>
          <w:sz w:val="28"/>
          <w:szCs w:val="28"/>
        </w:rPr>
        <w:t>»</w:t>
      </w:r>
    </w:p>
    <w:p w:rsidR="00DE55FC" w:rsidRPr="006061A5" w:rsidRDefault="00DE55FC">
      <w:pPr>
        <w:rPr>
          <w:sz w:val="28"/>
          <w:szCs w:val="28"/>
        </w:rPr>
      </w:pPr>
    </w:p>
    <w:sectPr w:rsidR="00DE55FC" w:rsidRPr="0060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Lazurski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66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2E0A67"/>
    <w:multiLevelType w:val="hybridMultilevel"/>
    <w:tmpl w:val="DCA43650"/>
    <w:lvl w:ilvl="0" w:tplc="7CD8C9C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61A5"/>
    <w:rsid w:val="000B2875"/>
    <w:rsid w:val="001735D0"/>
    <w:rsid w:val="0029181E"/>
    <w:rsid w:val="00414131"/>
    <w:rsid w:val="004C228A"/>
    <w:rsid w:val="0051689C"/>
    <w:rsid w:val="006061A5"/>
    <w:rsid w:val="00672A34"/>
    <w:rsid w:val="008E4230"/>
    <w:rsid w:val="008F4017"/>
    <w:rsid w:val="00C60A72"/>
    <w:rsid w:val="00D4687B"/>
    <w:rsid w:val="00DE55FC"/>
    <w:rsid w:val="00E76B1A"/>
    <w:rsid w:val="00E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1A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paragraphstyle">
    <w:name w:val="[No paragraph style]"/>
    <w:rsid w:val="006061A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">
    <w:name w:val="List Bullet"/>
    <w:basedOn w:val="a0"/>
    <w:rsid w:val="006061A5"/>
    <w:pPr>
      <w:numPr>
        <w:numId w:val="1"/>
      </w:numPr>
    </w:pPr>
  </w:style>
  <w:style w:type="paragraph" w:customStyle="1" w:styleId="06">
    <w:name w:val="06_автор"/>
    <w:basedOn w:val="Noparagraphstyle"/>
    <w:rsid w:val="006061A5"/>
    <w:pPr>
      <w:keepNext/>
      <w:spacing w:line="259" w:lineRule="auto"/>
      <w:jc w:val="center"/>
    </w:pPr>
    <w:rPr>
      <w:rFonts w:ascii="Literaturnaja" w:hAnsi="Literaturnaja" w:cs="Literaturnaja"/>
      <w:b/>
      <w:bCs/>
      <w:caps/>
      <w:sz w:val="20"/>
      <w:szCs w:val="20"/>
    </w:rPr>
  </w:style>
  <w:style w:type="paragraph" w:customStyle="1" w:styleId="060">
    <w:name w:val="06_автор регалии"/>
    <w:basedOn w:val="Noparagraphstyle"/>
    <w:rsid w:val="006061A5"/>
    <w:pPr>
      <w:spacing w:after="170" w:line="254" w:lineRule="auto"/>
      <w:jc w:val="center"/>
    </w:pPr>
    <w:rPr>
      <w:rFonts w:ascii="Literaturnaja" w:hAnsi="Literaturnaja" w:cs="Literaturnaja"/>
      <w:sz w:val="17"/>
      <w:szCs w:val="17"/>
    </w:rPr>
  </w:style>
  <w:style w:type="paragraph" w:customStyle="1" w:styleId="01">
    <w:name w:val="01_заголовок"/>
    <w:basedOn w:val="Noparagraphstyle"/>
    <w:rsid w:val="006061A5"/>
    <w:pPr>
      <w:keepLines/>
      <w:suppressAutoHyphens/>
      <w:spacing w:before="85" w:after="170" w:line="257" w:lineRule="auto"/>
      <w:jc w:val="center"/>
    </w:pPr>
    <w:rPr>
      <w:rFonts w:ascii="LazurskiCTT" w:hAnsi="LazurskiCTT" w:cs="LazurskiCTT"/>
      <w:b/>
      <w:bCs/>
      <w:caps/>
      <w:sz w:val="28"/>
      <w:szCs w:val="28"/>
    </w:rPr>
  </w:style>
  <w:style w:type="paragraph" w:customStyle="1" w:styleId="03">
    <w:name w:val="03_осн. текст укр."/>
    <w:basedOn w:val="a0"/>
    <w:rsid w:val="006061A5"/>
    <w:pPr>
      <w:autoSpaceDE w:val="0"/>
      <w:autoSpaceDN w:val="0"/>
      <w:adjustRightInd w:val="0"/>
      <w:spacing w:line="254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21"/>
      <w:szCs w:val="21"/>
      <w:lang w:val="uk-UA"/>
    </w:rPr>
  </w:style>
  <w:style w:type="paragraph" w:customStyle="1" w:styleId="04">
    <w:name w:val="04_доп. текст"/>
    <w:basedOn w:val="Noparagraphstyle"/>
    <w:rsid w:val="006061A5"/>
    <w:pPr>
      <w:spacing w:line="254" w:lineRule="auto"/>
      <w:ind w:firstLine="280"/>
      <w:jc w:val="both"/>
    </w:pPr>
    <w:rPr>
      <w:rFonts w:ascii="Literaturnaja" w:hAnsi="Literaturnaja" w:cs="Literaturnaja"/>
      <w:sz w:val="17"/>
      <w:szCs w:val="17"/>
    </w:rPr>
  </w:style>
  <w:style w:type="paragraph" w:customStyle="1" w:styleId="001">
    <w:name w:val="001_УДК"/>
    <w:basedOn w:val="04"/>
    <w:rsid w:val="006061A5"/>
    <w:pPr>
      <w:keepNext/>
      <w:spacing w:after="283"/>
      <w:ind w:firstLine="0"/>
      <w:jc w:val="left"/>
    </w:pPr>
  </w:style>
  <w:style w:type="paragraph" w:customStyle="1" w:styleId="030">
    <w:name w:val="03_осн список"/>
    <w:basedOn w:val="03"/>
    <w:rsid w:val="006061A5"/>
    <w:pPr>
      <w:ind w:left="283" w:hanging="283"/>
    </w:pPr>
  </w:style>
  <w:style w:type="paragraph" w:customStyle="1" w:styleId="023">
    <w:name w:val="02_заг. осн. текста 3"/>
    <w:basedOn w:val="Noparagraphstyle"/>
    <w:rsid w:val="006061A5"/>
    <w:pPr>
      <w:keepNext/>
      <w:keepLines/>
      <w:suppressAutoHyphens/>
      <w:spacing w:before="140" w:after="80" w:line="254" w:lineRule="auto"/>
      <w:jc w:val="center"/>
    </w:pPr>
    <w:rPr>
      <w:rFonts w:ascii="Literaturnaja" w:hAnsi="Literaturnaja" w:cs="Literaturnaja"/>
      <w:b/>
      <w:bCs/>
      <w:sz w:val="21"/>
      <w:szCs w:val="21"/>
    </w:rPr>
  </w:style>
  <w:style w:type="paragraph" w:customStyle="1" w:styleId="091">
    <w:name w:val="09_табл шапка1"/>
    <w:basedOn w:val="a0"/>
    <w:rsid w:val="006061A5"/>
    <w:pPr>
      <w:autoSpaceDE w:val="0"/>
      <w:autoSpaceDN w:val="0"/>
      <w:adjustRightInd w:val="0"/>
      <w:spacing w:line="254" w:lineRule="auto"/>
      <w:jc w:val="center"/>
      <w:textAlignment w:val="center"/>
    </w:pPr>
    <w:rPr>
      <w:rFonts w:ascii="Literaturnaja" w:hAnsi="Literaturnaja" w:cs="Literaturnaja"/>
      <w:b/>
      <w:bCs/>
      <w:color w:val="000000"/>
      <w:sz w:val="16"/>
      <w:szCs w:val="16"/>
    </w:rPr>
  </w:style>
  <w:style w:type="paragraph" w:customStyle="1" w:styleId="09">
    <w:name w:val="09_таблица текст"/>
    <w:basedOn w:val="a0"/>
    <w:rsid w:val="006061A5"/>
    <w:pPr>
      <w:autoSpaceDE w:val="0"/>
      <w:autoSpaceDN w:val="0"/>
      <w:adjustRightInd w:val="0"/>
      <w:spacing w:line="254" w:lineRule="auto"/>
      <w:textAlignment w:val="center"/>
    </w:pPr>
    <w:rPr>
      <w:rFonts w:ascii="Literaturnaja" w:hAnsi="Literaturnaja" w:cs="Literaturnaja"/>
      <w:color w:val="000000"/>
      <w:sz w:val="17"/>
      <w:szCs w:val="17"/>
    </w:rPr>
  </w:style>
  <w:style w:type="paragraph" w:customStyle="1" w:styleId="040">
    <w:name w:val="04_заг. доп. текста"/>
    <w:basedOn w:val="Noparagraphstyle"/>
    <w:rsid w:val="006061A5"/>
    <w:pPr>
      <w:keepNext/>
      <w:keepLines/>
      <w:spacing w:before="240" w:after="120" w:line="254" w:lineRule="auto"/>
      <w:jc w:val="center"/>
    </w:pPr>
    <w:rPr>
      <w:rFonts w:ascii="Literaturnaja" w:hAnsi="Literaturnaja" w:cs="Literaturnaja"/>
      <w:b/>
      <w:bCs/>
      <w:sz w:val="17"/>
      <w:szCs w:val="17"/>
    </w:rPr>
  </w:style>
  <w:style w:type="paragraph" w:customStyle="1" w:styleId="08">
    <w:name w:val="08_рис"/>
    <w:basedOn w:val="Noparagraphstyle"/>
    <w:rsid w:val="006061A5"/>
    <w:pPr>
      <w:spacing w:before="240" w:after="240" w:line="254" w:lineRule="auto"/>
      <w:jc w:val="center"/>
    </w:pPr>
    <w:rPr>
      <w:rFonts w:ascii="Literaturnaja" w:hAnsi="Literaturnaja" w:cs="Literaturnaja"/>
      <w:sz w:val="17"/>
      <w:szCs w:val="1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vika</cp:lastModifiedBy>
  <cp:revision>2</cp:revision>
  <dcterms:created xsi:type="dcterms:W3CDTF">2015-01-14T18:03:00Z</dcterms:created>
  <dcterms:modified xsi:type="dcterms:W3CDTF">2015-01-14T18:03:00Z</dcterms:modified>
</cp:coreProperties>
</file>